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19 9 vom 15. März 2021</w:t>
      </w:r>
    </w:p>
    <w:p>
      <w:r>
        <w:t>VS Kantonsgericht, 2021-03-15, FR</w:t>
      </w:r>
    </w:p>
    <w:p>
      <w:r>
        <w:rPr>
          <w:b/>
        </w:rPr>
        <w:t xml:space="preserve">Quelle: </w:t>
      </w:r>
      <w:r>
        <w:t>https://mcp.opencaselaw.ch/entscheid/vs_gerichte_P1 19 9</w:t>
      </w:r>
    </w:p>
    <w:p>
      <w:r>
        <w:t>FR: VS_GERICHTE P1 19 9 du 15 mars 2021</w:t>
      </w:r>
    </w:p>
    <w:p>
      <w:r>
        <w:t>IT: VS_GERICHTE P1 19 9 del 15 marzo 2021</w:t>
      </w:r>
    </w:p>
    <w:p>
      <w:pPr>
        <w:pStyle w:val="Heading2"/>
      </w:pPr>
      <w:r>
        <w:t>Regeste</w:t>
      </w:r>
    </w:p>
    <w:p>
      <w:r>
        <w:t>P1 19 9 JUGEMENT DU 15 MARS 2021 Tribunal cantonal du Valais Cour pénale II Composition : I _________, président ad hoc ; Dr. Lionel Seeberger et Dr. K _________, juges ; Yannick Deslarzes, greffière ; en la cause Ministère public du Canton du Valais, appelé, et 1. X _________, tiers séquestré et appelant, représenté par Maître M _________, 2. Y _________, partie plaignante et appelée, représentée par Maître N _________, contre Z _________, prévenu et appelant, représenté par Maître O _________. (quotité de la peine et sursis; rectification du prononcé [art. 83 CPP]) nouveau jugement après arrêt du Tribunal fédéral</w:t>
      </w:r>
    </w:p>
    <w:p>
      <w:pPr>
        <w:pStyle w:val="Heading2"/>
      </w:pPr>
      <w:r>
        <w:t>Erwägungen</w:t>
      </w:r>
    </w:p>
    <w:p>
      <w:r>
        <w:rPr>
          <w:b/>
        </w:rPr>
        <w:t>E. 6</w:t>
      </w:r>
    </w:p>
    <w:p>
      <w:r>
        <w:t>Le Tribunal fédéral a définitivement admis que Z _________ s’est rendu coupable de gestion déloyale aggravée (art. 158 ch. 1 al. 1 et 3 CP) au préjudice de B _________ SA et de banqueroute frauduleuse (art. 163 ch. 1 CP) en lien avec les différents comportements incriminés dans les jugements des 24 février 2014 et 17 novembre 2016. Il a par ailleurs considéré que les infractions n’étaient pas prescrites (cf. arrêts 6B_310/2014 du 23.11.2015 consid. 3 et 4 ainsi que 6B_122/2017, 6B_134/2017 du 8.01.2019 consid. 17.2). Enfin, Z _________ n’a pas remis en cause sa condamnation, par le tribunal d’arrondissement (cf. jugement du 31 juillet 2012, consid. 44, p. 87 ss), pour faux dans les titres (art. 251 ch. 1 CP).</w:t>
      </w:r>
    </w:p>
    <w:p>
      <w:r>
        <w:rPr>
          <w:b/>
        </w:rPr>
        <w:t>E. 6.1</w:t>
      </w:r>
    </w:p>
    <w:p>
      <w:r>
        <w:t>et 6.2). Pour déterminer si l'action pénale est proche de la prescription, le juge doit se référer à la date à laquelle les faits ont été souverainement établis, et non au jugement de première instance (moment où cesse de courir la prescription selon l'art. 97 al. 3 CP). Ainsi, lorsque le condamné a fait appel, il faut prendre en considération le moment où le jugement de seconde instance a été rendu dès lors que ce recours a un effet dévolutif (cf. art. 398 al. 2 CPP ; ATF 140 IV 145 consid. 3.1 ; cf. arrêts 5B_590/2020 du 1er octobre 2020 consid. 1.1 et 6B_260/2020 du 2 juillet 2020 consid. 2.3.3). Les articles 5 CPP et 29 al. 1 Cst. féd.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 lui incombe de prendre dans le délai prescrit par la loi ou dans le délai que la nature de l’affaire et les circonstances font apparaître comme raisonnable (ATF 143 IV 373 consid. 1.3.1 ; 130 I 312 consid. 5.1). Comme on en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momentanément de côté en raison d’autres affaires. Le principe de la célérité peut être violé, même si les autorités pénales n’ont commis aucune faute ; elles ne sauraient exciper des insuffisances de l’organisation judiciaire (ATF 130 IV 54 consid. 3.3.3). La violation du principe de célérité peut avoir pour conséquence la diminution de la peine, parfois l’exemption de toute peine ou encore une ordonnance de classement en tant qu’ultima ratio dans les cas les plus extrêmes (ATF 143 IV 373 consid. 1.4.1 ; 135 IV 12 consid. 3.6 ; arrêt 6B_1031/2016 du 23 mars 2017 consid. 8). Pour déterminer les conséquences adéquates de la violation du principe de la célérité, il convient de prendre en considération la gravité de l'atteinte que le retard dans la procédure a causé au prévenu, la gravité des infractions qui sont reprochées, les intérêts des lésés, la complexité du cas et à qui le retard de procédure doit être imputé (ATF 117 IV 124 consid. 4e ; arrêts 6B_1463/2019 du 20 février 2020 consid. 2.2 ; 6B_790/2017 du 18 décembre 2017 consid. 2.3.2). L'autorité judiciaire doit mentionner expressément la violation du principe de célérité dans le dispositif du jugement et, le cas échéant, indiquer dans quelle mesure elle a tenu compte de cette violation (arrêt 6B_1385/2019 du 27 février 2020 consid. 5.1 et les réf. citées).</w:t>
      </w:r>
    </w:p>
    <w:p>
      <w:r>
        <w:t>- 18 - Lorsque les conditions de l’article 48 let. e CP et d’une violation du principe de célérité sont réalisées, il convient de prendre en considération les deux facteurs de réduction de peine (arrêt 6B_189/2017 du 7 décembre 2017 consid. 5.3.1 ; 6B_14/2007 du 17 avril 2007 consid. 6.1.8).</w:t>
      </w:r>
    </w:p>
    <w:p>
      <w:r>
        <w:rPr>
          <w:b/>
        </w:rPr>
        <w:t>E. 6.1.1</w:t>
      </w:r>
    </w:p>
    <w:p>
      <w:r>
        <w:t>Aux termes de l'article 2 CP, est jugé d'après le présent code quiconque commet un crime ou un délit après l'entrée en vigueur de ce code (al. 1). Le présent code est aussi applicable aux crimes et aux délits commis avant la date de son entrée en vigueur si l'auteur n'est mis en jugement qu'après cette date et si le présent code lui est plus favorable que la loi en vigueur au moment de l'infraction (al. 2). Pour déterminer quel est le droit le plus favorable, le juge ne doit pas simplement comparer les peines prévues par la loi ancienne et la nouvelle pour l'acte dont il s'agit (méthode abstraite). Conformément à la méthode concrète, il doit examiner l'ancien et le nouveau droit dans leur ensemble et comparer les résultats auxquels ils conduisent dans le cas particulier.</w:t>
      </w:r>
    </w:p>
    <w:p>
      <w:r>
        <w:t>- 13 - Le nouveau droit doit être appliqué s'il amène effectivement à un résultat plus favorable au condamné. L'ancien et le nouveau droit ne peuvent être combinés. Ainsi, on ne saurait, en raison d'un seul et même état de fait, appliquer l'ancien droit pour déterminer quelle infraction a été commise et le nouveau droit pour décider si et comment l'auteur doit être puni. Si l'un et l'autre droit conduisent au même résultat, c'est l'ancien droit qui est applicable (ATF 134 IV 82 consid. 6.2; 126 IV 5 consid. 2c et la réf.). Le nouveau droit des sanctions introduit notamment, s’agissant de la peine pécuniaire, un seuil plancher de trois jours-amende (art. 34 al. 1 CP) et un plafond de 180 jours- amende (contre 360 jours-amende sous l’empire de l’ancien droit ; art. 34 al. 1 aCP), et, pour la peine privative de liberté, une durée minimale (sauf en cas de conversion) de trois jours (art. 40 al. 1 CP). Cela étant, le nouveau système des sanctions apparaît analogue à celui en vigueur au 31 décembre 2017, en ce que la peine pécuniaire reste la peine principale entre trois et 180 unités pénales (CUENDET/GENTON, La fixation de la peine et le sursis à l’aune du nouveau droit des sanctions, in RPS 5/2017, p. 326). En matière de sursis, la novelle du 19 juin 2015 supprime le sursis partiel pour la peine pécuniaire (art. 43 al. 1 CP) ; s’agissant de la peine privative de liberté, elle ne modifie pas l’ancien régime, sauf à dire que le sursis s’applique désormais à partir du nouveau plancher de trois jours (art. 42 al. 1 CP ; CUENDET/GENTON, op. cit., p. 327). Dans le nouveau droit, la limite inférieure fondant l’exigence d’un pronostic particulièrement favorable en cas d’antécédents durant les cinq ans qui précèdent l’infraction est, en revanche, élevée aux peines privatives de liberté (fermes ou avec sursis) de plus de six mois (art. 42 al. 2 CP), alors que, sous l’ancien droit, cette limite était arrêtée aux peines privatives de liberté (fermes ou avec sursis) de six mois au moins ou aux peines pécuniaires de 180 jours-amende au moins (art. 42 al. 2 aCP). Enfin, le juge a désormais l’obligation de prononcer une peine d’ensemble lorsqu’il révoque un sursis antérieur et que la peine révoquée et la nouvelle peine sont du même genre (art. 46 al. 1 CP ; NIGGLI/MAEDER, Der Widerspenstigen Zähmung, oder viel Lärm um nichts ?, in Jositsch/Schwarzenegger/Wohlers [édit.], Festschrift für Andreas Donatsch, 2017, p. 158-159).</w:t>
      </w:r>
    </w:p>
    <w:p>
      <w:r>
        <w:rPr>
          <w:b/>
        </w:rPr>
        <w:t>E. 6.1.2</w:t>
      </w:r>
    </w:p>
    <w:p>
      <w:r>
        <w:t>En l’espèce, compte tenu de la peine qui doit être infligée à Z _________ (cf. infra consid. 6.2.6.3), la novelle du 19 juin 2015, qui prévoit un durcissement général du dispositif légal, n’apparaît pas plus favorable. Il y a lieu, partant, d’appliquer le droit des sanctions en vigueur au 31 décembre 2017.</w:t>
      </w:r>
    </w:p>
    <w:p>
      <w:r>
        <w:rPr>
          <w:b/>
        </w:rPr>
        <w:t>E. 6.2</w:t>
      </w:r>
    </w:p>
    <w:p>
      <w:r>
        <w:t>Selon l’arrêt de renvoi (cf. 6B_122/2017, 6B_134/2017 consid. 11.7.3), il convient de fixer la peine en tenant compte du temps écoulé depuis les infractions (art. 48 let. e</w:t>
      </w:r>
    </w:p>
    <w:p>
      <w:r>
        <w:t>- 14 - CP) et de la durée globale de la peine. La Cour de céans n’entend en revanche pas modifier l’appréciation des autres facteurs - déterminants sous l’angle de l’article 47 CP - que Z _________ n’est pas parvenu à critiquer valablement devant le Tribunal fédéral (cf. arrêt 6B_122/2017, 6B_134/2017 consid. 11.3 à 11.6). Elle discutera uniquement les circonstances qui non pas été examinées par ce dernier (situation personnelle, âge et état de santé, cf. arrêt 6B_122/2017, 6B_134/2017 consid. 11.7.3 in fine).</w:t>
      </w:r>
    </w:p>
    <w:p>
      <w:r>
        <w:rPr>
          <w:b/>
        </w:rPr>
        <w:t>E. 6.3</w:t>
      </w:r>
    </w:p>
    <w:p>
      <w:r>
        <w:t>Les règles générales régissant la fixation de la peine ont été rappelées notamment dans les arrêts publiés aux ATF 142 IV 137 consid. 9.1, 141 IV 61 et 136 IV 55 auxquels on peut se référer. Pour le reste, les principes utiles seront rappelés ci-après.</w:t>
      </w:r>
    </w:p>
    <w:p>
      <w:r>
        <w:rPr>
          <w:b/>
        </w:rPr>
        <w:t>E. 6.3.1</w:t>
      </w:r>
    </w:p>
    <w:p>
      <w:r>
        <w:t>La situation personnelle de Z _________ a été exposée au considérant 4 du présent jugement. Il convient simplement de s’y référer.</w:t>
      </w:r>
    </w:p>
    <w:p>
      <w:r>
        <w:rPr>
          <w:b/>
        </w:rPr>
        <w:t>E. 6.3.2</w:t>
      </w:r>
    </w:p>
    <w:p>
      <w:r>
        <w:t>S’agissant des facteurs de fixation de la peine, il s’agit de tenir compte (cf. arrêt 6B_134/2014 consid. 11.3, 11.4 et 11.6 et, pour le détail, jugement du 17.11.2016 consid. 13.3.2), en résumé, des différents concours d’infractions, de la lourde culpabilité de l’appelant, de ses antécédents, du fait que les infractions se sont échelonnées sur plusieurs années, sans que deux condamnations antérieures pour des actes analogues ne le dissuadent de récidiver, du fait que ses actes étaient susceptibles de causer un dommage considérable - étant précisé qu'il n'est plus admis à démontrer, comme il s'est tout de même employé à le faire ce jour, que ses créanciers n'ont pas subi de préjudice -, de son manque total de considération pour autrui, de son absence de scrupules, de la forte intensité de sa volonté délictueuse, de ses mobiles vils (appât du gain), de sa collaboration peu méritoire ainsi que d’une absence de remords, ce que la Cour a encore pu constater aujourd’hui. Il n'a, en effet, pas émis le moindre regret quant à ses agissements coupables. Lors de l'audience de 2016, il s'était du reste limité à se retrancher derrière une mauvaise gestion de sa société (cf. R ad 6, doss. P1 15 68, p. 912).</w:t>
      </w:r>
    </w:p>
    <w:p>
      <w:r>
        <w:rPr>
          <w:b/>
        </w:rPr>
        <w:t>E. 6.3.3</w:t>
      </w:r>
    </w:p>
    <w:p>
      <w:r>
        <w:t>Il a été jugé que l’attitude des médias et de HH _________, telle qu’invoquée par Z _________ lors des débats du 17 novembre 2016, ne constitue pas un facteur atténuant pour la peine (cf. arrêt 1B_122/2017, 6B_134/2017 consid. 15.1).</w:t>
      </w:r>
    </w:p>
    <w:p>
      <w:r>
        <w:rPr>
          <w:b/>
        </w:rPr>
        <w:t>E. 6.3.4</w:t>
      </w:r>
    </w:p>
    <w:p>
      <w:r>
        <w:t>Z _________ estime que sa situation personnelle, son âge et son état de santé n'ont pas été suffisamment pris en compte.</w:t>
      </w:r>
    </w:p>
    <w:p>
      <w:r>
        <w:rPr>
          <w:b/>
        </w:rPr>
        <w:t>E. 6.3.4.1</w:t>
      </w:r>
    </w:p>
    <w:p>
      <w:r>
        <w:t>Lors de la fixation de la peine, le juge - respectivement la Cour - doit tenir compte du fait que certains délinquants sont plus durement touchés par l'exécution d'une peine</w:t>
      </w:r>
    </w:p>
    <w:p>
      <w:r>
        <w:t>- 15 - privative de liberté. L'âge et le mauvais état de santé du délinquant font partie des éléments qui peuvent le rendre plus vulnérable face à la peine. La vulnérabilité face à la peine ne doit toutefois être retenue comme circonstance atténuante que si elle rend la sanction considérablement plus dure que pour la moyenne des autres condamnés (arrêt 6B_623/2014 du 5 janvier 2015 consid. 3.6.1), par exemple en présence de maladies graves, de psychoses claustrophobiques ou de surdimutité. Dans certains cas, le grand âge de l'auteur pourra aussi influer sur la sensibilité à la peine. Il a cependant été jugé que l'âge de 70 ans n'était pas suffisamment avancé pour être pris en considération (arrêts 6B_241/2020 du 6 mai 2020 consid. 4.1 et les réf. citées ; 6B_1463/2019 du 20 février 2020 consid. 2.1.1 et les réf. citées ; cf. arrêts 6B_1276/2015 du 29 juin 2016 consid. 2.2.2 concernant la prise en compte de la vulnérabilité d'un condamné âgé de 72 ans et 6B_533/2011 du 10 novembre 2011 consid. 7.1 et 7.4 concernant celle d'un condamné âgé de 87 ans). L'effet de la peine sur l'avenir du condamné, en tant qu'élément de prévention spéciale, ne permet que des corrections marginales, la peine devant toujours rester proportionnée à la faute (arrêts 6B_233/2020 du 5 juin 2020 consid. 3.1 et les réf.). Quant à la situation familiale de l'auteur, elle ne peut être prise en compte que dans des conditions exceptionnelles, étant entendu que toute peine privative de liberté entraîne des répercussions sur la famille (arrêt 6B_751/2009 du 4 décembre 2019 consid. 3.2; cf. pour des exemples: WIPRÄCHTIGER/KELLER, in Basler Kommentar, Strafrecht I, 4ème éd., 2019, n. 154 ad art. 47 CP).</w:t>
      </w:r>
    </w:p>
    <w:p>
      <w:r>
        <w:rPr>
          <w:b/>
        </w:rPr>
        <w:t>E. 6.3.4.2</w:t>
      </w:r>
    </w:p>
    <w:p>
      <w:r>
        <w:t>En l'espèce, la situation personnelle de Z _________, singulièrement le fait qu'il est le père de nombreux enfants dont un relativement jeune, ne commande pas une atténuation de la peine. A une exception près, ceux-ci sont en effet tous majeurs et indépendants financièrement, comme il l'a du reste souligné lors de l'audience de ce jour, de sorte qu'une incarcération n'aura aucune répercussion – sinon évidemment affective – sur leur condition de vie. Tel est également le cas s'agissant de FF _________, le benjamin. En effet, âgé de presque onze ans, celui-ci ne nécessite plus l'assistance constante de l'un de ses parents et, en cas d'emprisonnement, il bénéficiera, de surcroît, de la présence permanente de sa mère, auprès de laquelle il vit. Quant aux ressources financières nécessaires à son entretien, elles ne s'en trouveront pas diminuées puisque les rentes AVS et LPP, qui s'ajoutent au revenu de l'activité salariée perçu par sa mère (cf. procès-verbal de taxation 2019), continueront d'être servies. Dans ces circonstances, la situation de l'appelant ne diffère pas particulièrement</w:t>
      </w:r>
    </w:p>
    <w:p>
      <w:r>
        <w:t>- 16 - de celle de nombreux détenus qui ont des enfants mineurs, ce qui exclut une atténuation de la peine pour ce motif. Z _________ souffre de plusieurs hernies discales selon la pièce déposée lors des débats du 17 novembre 2016 (cf. PJ n° 6, doss. P1 15 68, vol. IX, p. 891). Cette affection n’est toutefois pas grave au point de rendre la sanction considérablement plus dure que pour la moyenne des autres condamnés. Ses conséquences, qui ne se sont apparemment pas amplifiées depuis 2016, se réduisent en effet à le limiter dans certains mouvements. Z _________ a, par ailleurs, choisi de ne pas se faire opérer (cf. p.-v. du 17.11.2016, rép. 6 et du 15.03.2021, rép. 4) et se soigne par la prise de médicaments, ce qui démontre que les douleurs ressenties, certes désagréables, sont néanmoins parfaitement supportables. Dans ces circonstances, son état de santé ne justifie pas une atténuation de la peine, pas plus qu'il n'est incompatible avec une incarcération, étant précisé qu'il n'a pas fait valoir d'autres pathologies. Z _________ invoque enfin son âge, actuellement de 78 ans. Il est toutefois retraité et au bénéfice de différentes rentes. Dans ces circonstances, son avenir ne peut être mis en péril par une peine ferme. En outre, comme on l’a vu, il n’a pas établi souffrir d’une maladie grave qui rendrait l’exécution d’une peine ferme plus pénible que pour les autres condamnés. Lors des débats de ce jour, il a, au contraire, donné l'impression d'un homme toujours très vif intellectuellement et alerte dans ses mouvements. Dans ces circonstances, il n'apparaît pas plus vulnérable face à la peine en raison de son âge.</w:t>
      </w:r>
    </w:p>
    <w:p>
      <w:r>
        <w:rPr>
          <w:b/>
        </w:rPr>
        <w:t>E. 6.3.5</w:t>
      </w:r>
    </w:p>
    <w:p>
      <w:r>
        <w:t>Selon l’arrêt de renvoi du 8 janvier 2019 (cf. consid. 11.7.2), il y a lieu de tenir compte, à titre de facteur de réduction de peine, de l’écoulement du temps (art. 48 let. e CP) et de la violation du principe de célérité.</w:t>
      </w:r>
    </w:p>
    <w:p>
      <w:r>
        <w:rPr>
          <w:b/>
        </w:rPr>
        <w:t>E. 6.3.5.1</w:t>
      </w:r>
    </w:p>
    <w:p>
      <w:r>
        <w:t>Aux termes de l'art. 48 let. e CP, le juge atténue la peine si l'intérêt à punir a sensiblement diminué en raison du temps écoulé depuis l'infraction et que l'auteur s'est bien comporté dans l'intervalle. La disposition en cause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w:t>
      </w:r>
    </w:p>
    <w:p>
      <w:r>
        <w:t>- 17 - la nature et de la gravité de l'infraction (ATF 140 IV 145 consid. 3.1 ; 132 IV 1 consid.</w:t>
      </w:r>
    </w:p>
    <w:p>
      <w:r>
        <w:rPr>
          <w:b/>
        </w:rPr>
        <w:t>E. 6.3.5.2</w:t>
      </w:r>
    </w:p>
    <w:p>
      <w:r>
        <w:t>En l’occurrence, sous l’angle de l’article 48 let. e CP, il convient d’emblée de relever que la gravité des infractions commises (faux dans les titres, gestion déloyale aggravée et banqueroute frauduleuse), la durée des agissements coupables, qui se sont échelonnés sur près de dix ans, et l’importance du dommage causé (près de 800'000 fr. envers la seule partie plaignante B _________ SA ; soustraction d’un bien immobilier de plusieurs millions envers ses créanciers), ne justifient aucunement de prendre en considération un délai plus court que les deux tiers du délai de prescription. S’agissant ensuite des faits fondant l’infraction de faux dans les titres, à savoir l'établissement d'un nouveau carnet de quittances qui n’indiquait pas certaines ventes de vin, ils ont été souverainement établis au moment du jugement de première instance du 31 juillet 2012 (cf. jugement du 31 juillet 2012 consid. 12 et 44). A ce moment-là, les deux tiers du délai de prescription de 15 ans (cf. art. 70 al. 1 let. b aCP) n’étaient pas atteints s’agissant d’actes perpétrés entre fin 2003 et début 2004 pour ceux qui ont pu être établis. Les faits fondant la gestion déloyale aggravée ont, pour leur part, été souverainement arrêtés au moment du premier jugement cantonal du 24 février 2014. A ce moment-là, les deux tiers du délai de prescription de l’action pénale de 15 ans (cf. au sujet du point de départ et de la durée du délai de prescription des agissements fondant cette infraction, arrêt 6B_310/2014 consid. 4.4 à 4.6) étaient clairement expirés pour les actes reprochés en lien avec II _________ puisqu'à leur égard la prescription a commencé à courir en mars 2002. Quant aux agissements concernant l'occupation de l'appartement et l'utilisation des services d'employées de la société, ils étaient tout juste vieux de dix ans au moment dudit jugement ; le point de départ du délai de prescription ayant en effet été arrêté au mois de février 2004 en ce qui les concerne. Enfin, les faits fondant la banqueroute frauduleuse ont été définitivement établis au moment du deuxième jugement cantonal, soit le 17 novembre 2016, date à laquelle les deux tiers du délai de prescription de l’action pénale de 15 ans (cf. jugement du 17 novembre 2016 consid. 11.1.3 et arrêt 6B_122/2017, 6B_134/2017 consid. 17.2) étaient expirés puisque les agissements coupables ont été perpétrés le 28 mars 2003.</w:t>
      </w:r>
    </w:p>
    <w:p>
      <w:r>
        <w:t>- 19 - Il apparait, en définitive, que la majeure partie des actes reprochés à Z _________ étaient vieux d’au moins dix ans au moment de l’établissement des faits les concernant, de sorte que la condition de l’écoulement du temps est remplie. Celle du bon comportement l’est également puisque, depuis les derniers agissements en 2004, l’appelant n'a pas commis de nouvelles infractions. La circonstance atténuante de l’article 48 let. e CP est ainsi réalisée et commande une atténuation obligatoire de la peine (cf. infra consid. 6.3.6.3).</w:t>
      </w:r>
    </w:p>
    <w:p>
      <w:r>
        <w:rPr>
          <w:b/>
        </w:rPr>
        <w:t>E. 6.3.5.3</w:t>
      </w:r>
    </w:p>
    <w:p>
      <w:r>
        <w:t>Comme autre circonstance atténuante, il y a lieu de retenir une violation du principe de célérité, ceci à deux égards. Premièrement, le dossier a connu une inactivité de 19 mois entre la décision du Tribunal fédéral du 29 juillet 2010 statuant sur les demandes de récusation des juges du district de A _________ et l’ordonnance de preuve aux débats du 8 mars 2012. Deuxièmement, la procédure a duré près de dix-huit ans au total. Ainsi, même si l’ampleur du dossier est plutôt exceptionnelle, les agissements reprochés multiples et certaines des questions à résoudre complexes, faisant notamment appel au droit étranger, ces éléments ne justifient pas entièrement une telle inactivité, respectivement, une telle durée d’ensemble de la procédure. Le retard injustifié et l’attente qui en ont découlé ne constituent toutefois pas une sanction telle qu’il faille renoncer à toute peine. En effet, si la procédure a, certes, été très longue et l’incertitude liée à son issue vraisemblablement déplaisante pour l’appelant, celui-ci n’a à aucun moment prétendu qu’elles l’affectaient particulièrement. A cela s’ajoute qu’il n’a, au vu de ses déclarations lors des débats de ce jour, toujours pas pris la mesure de ses actes, ni de leur caractère délictuel et encore moins de leur importance alors que les agissements reprochés et les infractions commises sont particulièrement graves. L’intérêt des parties plaignantes – qui ont subi un préjudice conséquent dont l'appelant a encore persisté à nier l'existence lors des débats de ce jour – à obtenir réparation plaide en faveur d’une condamnation. Enfin, on relèvera encore que la longue durée de l’instruction et, plus généralement, celle de la procédure ont pour cause la complexité du dossier, tant sous l’angle des multiples états de faits que des questions de droit à résoudre, et, pour partie, le comportement de l’appelant, qui a en effet tenté de compliquer l’instruction en se cachant derrière les prétendues malversations de la famille HH _________, accusations qui se sont finalement révélées infondées. Sur le vu de l’ensemble de ces éléments, la Cour estime que la violation du principe de célérité, qu’il convient de constater dans le dispositif, doit conduire à une réduction sensible de la peine (cf. infra consid. 6.3.6.3)</w:t>
      </w:r>
    </w:p>
    <w:p>
      <w:r>
        <w:t>- 20 -</w:t>
      </w:r>
    </w:p>
    <w:p>
      <w:r>
        <w:rPr>
          <w:b/>
        </w:rPr>
        <w:t>E. 6.3.6</w:t>
      </w:r>
    </w:p>
    <w:p>
      <w:r>
        <w:t>Il reste à fixer la quotité de cette peine. A cet égard, le Ministère public requiert le prononcé d'une peine privative de liberté de 32 mois, tandis que l'appelant conclut à l'exemption de toute peine, voire au prononcé d'une peine d'ensemble de 12 mois au maximum.</w:t>
      </w:r>
    </w:p>
    <w:p>
      <w:r>
        <w:rPr>
          <w:b/>
        </w:rPr>
        <w:t>E. 6.3.6.1</w:t>
      </w:r>
    </w:p>
    <w:p>
      <w:r>
        <w:t>D'après l'article 49 al. 1 CP, si, en raison d'un ou de plusieurs actes, l'auteur remplit les conditions de plusieurs peines du même genre, le juge le condamne à la peine de l'infraction la plus grave et l'augmente dans une juste proportion. En vertu de cette disposition, le principe de l'aggravation est applicable si l'auteur remplit les conditions de plusieurs peines de même genre (ATF 137 IV 57 consid. 4.3).</w:t>
      </w:r>
    </w:p>
    <w:p>
      <w:r>
        <w:rPr>
          <w:b/>
        </w:rPr>
        <w:t>E. 6.3.6.2</w:t>
      </w:r>
    </w:p>
    <w:p>
      <w:r>
        <w:t>Lorsque, parmi plusieurs infractions à juger, l'une au moins a été commise avant d'autres jugées précédemment (concours rétrospectif partiel), les nouvelles infractions – soit celles commises après l'entrée en force d'un précédent jugement – doivent faire l'objet d'une peine indépendante. Ainsi, il convient d'opérer une séparation entre les infractions commises avant le premier jugement et celles perpétrées postérieurement à celui-ci. Le juge doit tout d'abord s'attacher aux infractions commises avant ledit jugement, en examinant si, eu égard au gendre de peine envisagé, une application de l'article 49 al. 2 CP entre en ligne de compte. Ensuite, il doit considérer les infractions commises postérieurement au jugement précédent, en fixant pour celles-ci une peine indépendante, le cas échéant, en faisant application de l'article 49 al. 1 CP. Enfin, le juge additionne la peine complémentaire ou la peine cumulative retenue pour sanctionner la ou les infractions commises antérieurement au jugement précédent à celle retenue pour sanctionner les infractions commises postérieurement à cette décision (ATF 145 IV 1 consid. 1).</w:t>
      </w:r>
    </w:p>
    <w:p>
      <w:r>
        <w:rPr>
          <w:b/>
        </w:rPr>
        <w:t>E. 6.3.6.3</w:t>
      </w:r>
    </w:p>
    <w:p>
      <w:r>
        <w:t>En l'espèce, pour fixer la peine, il y a lieu de tenir compte des éléments à charge exposés ci-dessus (cf. en particulier le consid. 6.3.2). Comme déjà mentionné, la circonstance atténuante de l’écoulement du temps (art. 48 let. e CP) commande une réduction de peine, tout comme la violation du principe de célérité constatée supra. En revanche, le concours d'infractions implique une aggravation de la peine (art. 49 CP), étant précisé que le maximum du cadre légal de la peine est une peine privative de liberté de 7 ans et demi. Ensuite, la problématique d'un concours rétrospectif partiel se pose, dès lors que les infractions retenues ont été commises, certes majoritairement avant le jugement du</w:t>
      </w:r>
    </w:p>
    <w:p>
      <w:r>
        <w:rPr>
          <w:b/>
        </w:rPr>
        <w:t>E. 10</w:t>
      </w:r>
    </w:p>
    <w:p>
      <w:r>
        <w:t>décembre 2003 ne peuvent être révoqués. 8. Il reste à statuer sur le sort des frais et dépens. 8.1 La quotité des frais d’instruction (7691 fr. 75) et de jugement de première instance (10’000 fr.) n’est pas contestée. Z _________ a eu gain de cause en appel sur la question - définitivement tranchée par jugement du 24 février 2014 - de la créance compensatoire et, partiellement, de la mesure de la peine et du sursis. En revanche, il a succombé sur les nombreux autres points contestés. La réparation de la violation du principe de célérité commande en outre qu’une partie des frais d’instruction et de première instance soit supportée par l’Etat du Valais (cf. ATF 137 IV 118 consid. 2.2 in fine ; arrêt 6B_556/2017 du 15 mars 2018 consid. 3.1). Dans ces circonstances, il y a lieu de modifier la répartition des frais de première instance. Partant, ceux-ci sont supportés par l’appelant à raison de 40% (soit 7'076 fr. 70) et à raison de 60 % par l’Etat du Valais (soit 10'615 fr. 05). Pour le surplus, il n’y a pas lieu de revenir sur la répartition et la quotité des dépens d’instruction et de première instance fixés par le Tribunal d’arrondissement, qui ont été définitivement confirmés par jugement 24 février 2014 sans être remis en cause devant le Tribunal fédéral. 8.2 8.2.1 Aux termes de l'article 428 al. 1 CPP, les frais de la procédure de recours sont mis à la charge des parties dans la mesure où elles ont obtenu gain de cause ou succombé. L'article 428 al. 2 CPP régit les cas dans lesquels les frais de la procédure peuvent être mis à la charge de la partie recourante qui obtient une décision qui lui est plus favorable. Pour déterminer si une partie succombe ou obtient gain de cause, il faut examiner dans quelle mesure ses conclusions sont admises en deuxième instance (arrêts 6B_680/2019 du 27 septembre 2019 consid. 2.1; 6B_1240/2018 du 14 mars 2019 consid. 1.2.1 et la référence citée). L’émolument d'appel est fixé en fonction de l'ampleur et de la difficulté de la cause, de la façon de procéder des parties, ainsi que leur situation financière. Il varie entre un minimum et un maximum, eu égard aux principes de la couverture des frais et de l'équivalence des prestations (art. 13 al. 1 et 2 LTar). Pour la procédure d'appel devant le tribunal cantonal, il est compris entre 380 fr. et 6000 francs (art. 22 let. f LTar). Lorsque</w:t>
      </w:r>
    </w:p>
    <w:p>
      <w:r>
        <w:t>- 26 - des circonstances particulières le justifient, l’autorité peut majorer ces limites jusqu’au quintuple en matière pénale (art. 13 al. 3 LTar). En l’espèce, Z _________ a succombé dans ses conclusions en acquittement des infractions de gestion déloyale qualifiée et banqueroute frauduleuse. Il a, en revanche, obtenu partiellement gain de cause sur la mesure de la peine, mais pas sur la question du sursis, et reproché à juste titre aux premiers juges de l’avoir condamné au paiement d’une créance compensatrice. La réparation de la violation du principe de célérité commande, en outre, qu’une partie des frais d’appel soit supportée par l’Etat du Valais. Quant à l’appel de B _________ SA, il n’a été que très partiellement admis et celui de X _________, qui contestait la dévolution de la villa avec ses meubles à Y _________ et les prétentions civiles de cette dernière, a été entièrement rejeté, dans la mesure sa recevabilité. Dans ces circonstances, les frais de la procédure d’appel sont répartis à raison de 60% à la charge de Z _________, de 20 % à la charge de l’Etat du Valais, de 10% à la charge de B _________ SA et de 10% à celle de X _________. La très grande complexité du dossier - résultant principalement des questions de droit à résoudre, dont certaines font appel au droit étranger - et son ampleur plutôt exceptionnelle (il comporte 9 volumes et 78 annexes et met en cause trois appelants) doivent être pris en considération. Sur le vu de ces éléments ainsi que des principes de la couverture des frais et de l’équivalence des prestations, mais également de la situation financière aujourd’hui apparemment relativement délicate de Z _________, les frais de la procédure d’appel, qui comprennent les débours, l’émolument pour la décision présidentielle du 2 décembre 2013 ainsi que les ordonnances des 23 février 2016, 5 septembre 2016 et 30 septembre 2020, sont fixés à 7500 francs. Compte tenu de la clé de répartition retenue ci-dessus, ils sont mis à la charge de Z _________ à hauteur de 4500 fr., de l’Etat du Valais à hauteur de 1500 fr., de la B _________ SA à hauteur de 750 fr. et de X _________ à hauteur de 750 francs. 8.2.2 Le sort des dépens, en appel, est réglé par l'article 436 al. 1 CPP. En vertu de cette disposition, les prétentions en indemnités dans la procédure de recours sont régies par les articles 429 à 434 CPP. Cela implique, d'une manière générale, que les indemnités sont allouées ou mises à la charge des parties dans la mesure où celles-ci ont eu gain de cause ou ont succombé (MIZEL/RÉTORNAZ, Commentaire Romand, 2011, n. 1 ad art. 436 CPP ; WEHRENBERG/BERNHARD, Commentaire bâlois, n. 4 ad art. 436 CPP). La partie plaignante peut, partant, demander au prévenu une juste indemnité pour les dépenses obligatoires occasionnées par la procédure dans la mesure où celui-ci est astreint au paiement des frais conformément à l'article 428 al. 1 CPP (cf. art. 433 al. 1</w:t>
      </w:r>
    </w:p>
    <w:p>
      <w:r>
        <w:t>- 27 - let. a CPP). Selon l’article 434 al. 2, 2ème phrase, CPP, la procédure concernant l’indemnisation des dépenses obligatoires de la partie plaignante (art. 433 CPP) est applicable par analogie à l’indemnisation de tiers dont le tiers séquestré (art. 105 al. 1 let. f en lien avec les art. 263 ss CPP). L'article 135 al. 1 CPP règle l'indemnisation du défenseur d'office en renvoyant au tarif des avocats de la Confédération ou du canton du for du procès. Si cette réglementation prévoit un tarif réduit, celui-ci s'applique sans égard à l'issue du procès (ATF 139 IV 261 consid. 2). Selon l’article 30 al. 1 LTar, le conseil juridique habilité à se faire indemniser en vertu des dispositions en matière d’assistance judiciaire perçoit, en sus du remboursement de ses débours justifiés, des honoraires correspondant au septante pour cent des honoraires prévus aux articles 31 à 40 LTar, mais au moins à une rémunération équitable telle que définie par la jurisprudence du Tribunal fédéral (cf. ATF 139 IV 261 précité et ATF 137 III 185 consid. 5.1 : minimum de 180 fr./h). Enfin, dans l’hypothèse où une partie n’est pas représentée par un avocat, elle a droit à un dédommagement uniquement lorsque la cause est compliquée, que sa valeur litigieuse est élevée et qu’elle a provoqué un travail plus conséquent que celui qu’un particulier doit normalement consentir pour s’occuper de ses propres affaires. Ce principe s’applique également lorsque la partie exerce le métier d’avocat (art. 3 al. 2 LTar ; ATF 125 II 518 ; RVJ 2001 p. 309 consid. 3). 8.2.3 Pour la procédure d’appel devant le Tribunal cantonal, les dépens sont fixés entre un minimum de 1100 fr. et un maximum de 8800 fr. (art. 36 let. j LTar), d'après la nature et l'importance de la cause, ses difficultés, l'ampleur du travail, le temps utilement consacré et la situation financière de la partie (art. 27 al. 1 LTar). Dans les causes qui ont nécessité un travail particulier, l'autorité peut accorder des honoraires d'un montant supérieur à celui prévu par le tarif (art. 29 LTar). 8.2.4 Il n’y a pas lieu de revenir sur les dépens dus par Z _________ aux parties civiles B _________ SA et KK _________. 8.2.5 Pour les motifs – non contestés – exposés dans le jugement du 17 novembre 2016 (cf. consid. 17.2.6), à savoir qu'elle voit son appel, en tant qu'il est recevable, intégralement rejeté, X _________, tiers séquestré, supporte ses frais d’intervention. Elle ne peut pas non plus prétendre à une indemnité en lien avec les conclusions articulées ce jour puisque, dans la mesure où elles sont recevables, elles sont intégralement rejetées.</w:t>
      </w:r>
    </w:p>
    <w:p>
      <w:r>
        <w:t>- 28 - 8.2.6 Pour les motifs – non contestés – exposés dans le jugement du 17 novembre 2016, Z _________ versera à Y _________ le montant de 7500 fr. à titre d’indemnité pour les dépenses obligatoires occasionnées par l’ensemble de la procédure. S'y ajoute une indemnité pour la demande de rectification puisque les conclusions écrites articulées ce jour ont été accueillies favorablement. L'activité utilement déployée à ce titre par Me N _________ comprend la rédaction d'une brève requête et la participation à une partie de l'audience de ce jour (soit durant un peu plus d'1h30). Dans ces circonstances, l'indemnité en faveur de Y _________ est arrêtée à 900 fr. et supportée par le canton du Valais puisque le motif à l'origine de la demande (erreur lors de la traduction de l'ordonnance italienne de séquestre) est imputable aux autorités de poursuite pénale (cf. en ce sens ARQUINT, in Basler Kommentar, Strafrecht I, 4ème éd., 2019, n. 21 ad art. 83 CPP). 8.2.7 La rémunération de Me LL _________ pour l’activité déployée jusqu’au prononcé du jugement du 24 février 2012 a été fixée dans ce dernier, si bien qu’il n’y a pas lieu d’y revenir. Par ordonnance du 23 février 2016, Z _________ été mis au bénéfice de l’assistance judiciaire pour la procédure d’appel après renvoi, avec effet dès le 11 décembre 2015, et Me O _________ lui a été désigné en qualité de défenseur d’office (art. 132 al. 1 let. b CPP) dès cette date. Il n’a pas remis en cause devant le Tribunal fédéral l’honoraire global pour l’activité déployée depuis le 11 décembre 2015 et jusqu’au prononcé du 17 novembre 2016, arrêté à 9000 fr., TVA et débours compris (cf. consid. 17.2.8), de sorte que celui-ci doit être purement et simplement confirmé. S’y ajoute l’honoraire pour l’activité déployée postérieurement à l’arrêt de renvoi 8 janvier 2019, qui a consisté, pour l’essentiel, à déposer quelques courriers, une requête en complément de preuves ainsi qu’à préparer et à participer aux débats de ce jour d’une durée de 3 heures 30. Selon le décompte LTar déposé ce jour, le défenseur d'office de l'appelant a consacré un total de 38 heures 30 à ces activités. Il a ainsi passé un peu plus de 9 heures 30 à préparer et à rédiger la réquisition en complément de preuves et près de 22 heures à préparer les débats d'appel. Compte tenu de sa connaissance du dossier, étant rappelé qu'il assiste Z _________ depuis 2014 (date dépôt du recours devant le Tribunal fédéral), et du caractère limité des questions en suspens (peine et sursis), de telles durées apparaissent manifestement excessives et sont réduites à, respectivement, 3 heures et 6 heures. Dans ces circonstances, l’honoraire global au plein tarif pour l’activité déployée depuis le 8 janvier 2019 est en définitive arrêté au montant de 4300 fr. (cf. art. 30 al. 1 et 36 LTar), TVA (art. 27 al. 5 LTar), débours effectifs, par 10 fr. 10, et frais de</w:t>
      </w:r>
    </w:p>
    <w:p>
      <w:r>
        <w:t>- 29 - déplacement, par 69 fr. 20 (prix du billet de train aller-retour pour le trajet BB _________- A _________ en 2ème classe) compris. Ainsi, le canton du Valais versera à Me O _________ le montant de 13'300 fr. (9000 fr. + 4300 fr.) à titre d’indemnisation pour son activité de défenseur d’office. Conformément à l’article 135 al. 4 CPP, Z _________ est avisé qu’il est tenu de rembourser au canton du Valais le montant de la juste indemnité versée à Me O _________ et de verser à cet avocat la différence entre cette indemnité et les honoraires que celui-ci aurait touché comme défenseur privé,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